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b/>
          <w:bCs/>
          <w:sz w:val="20"/>
          <w:szCs w:val="20"/>
        </w:rPr>
        <w:t>ZOD/</w:t>
      </w:r>
      <w:r>
        <w:rPr>
          <w:b/>
          <w:bCs/>
          <w:sz w:val="20"/>
          <w:szCs w:val="20"/>
        </w:rPr>
        <w:t>11</w:t>
      </w:r>
      <w:r>
        <w:rPr>
          <w:rFonts w:eastAsia="SimSun" w:cs="Mangal"/>
          <w:b/>
          <w:bCs/>
          <w:color w:val="auto"/>
          <w:kern w:val="2"/>
          <w:sz w:val="20"/>
          <w:szCs w:val="20"/>
          <w:lang w:val="pl-PL" w:eastAsia="zh-CN" w:bidi="hi-IN"/>
        </w:rPr>
        <w:t>/25</w:t>
      </w:r>
      <w:r>
        <w:rPr>
          <w:b/>
          <w:bCs/>
          <w:sz w:val="20"/>
          <w:szCs w:val="20"/>
        </w:rPr>
        <w:tab/>
        <w:tab/>
        <w:tab/>
        <w:tab/>
        <w:tab/>
      </w:r>
      <w:r>
        <w:rPr>
          <w:b/>
          <w:bCs/>
          <w:i/>
          <w:iCs/>
          <w:sz w:val="20"/>
          <w:szCs w:val="20"/>
        </w:rPr>
        <w:t xml:space="preserve">  </w:t>
        <w:tab/>
        <w:t xml:space="preserve">    </w:t>
        <w:tab/>
        <w:tab/>
        <w:tab/>
        <w:t xml:space="preserve">       Załącznik nr 4</w:t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>
            <w:pPr>
              <w:pStyle w:val="Zalpodpis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Standard"/>
        <w:spacing w:lineRule="auto" w:line="36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>
            <w:pPr>
              <w:pStyle w:val="Zalpodpis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Zalboldcentr"/>
        <w:spacing w:before="283"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spełnianiu warunków udziału W postępowaniu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 xml:space="preserve">Przystępując do postępowania </w:t>
      </w:r>
      <w:r>
        <w:rPr>
          <w:sz w:val="20"/>
          <w:szCs w:val="20"/>
        </w:rPr>
        <w:t xml:space="preserve">na 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„Dostawa sprzętu dla POZ: analizator medyczny, aparat EKG mobilny, kozetka lekarska, lampa diagnostyczna bezcieniowa”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vertAlign w:val="baseline"/>
          <w:lang w:val="pl-PL" w:eastAsia="zh-CN" w:bidi="hi-IN"/>
        </w:rPr>
        <w:t xml:space="preserve"> </w:t>
      </w:r>
      <w:r>
        <w:rPr>
          <w:sz w:val="20"/>
          <w:szCs w:val="20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OŚWIADCZAM, że: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>
        <w:rPr>
          <w:rFonts w:eastAsia="Arial" w:cs="MyriadPro-Regular, 'Times New R" w:ascii="Times New Roman" w:hAnsi="Times New Roman"/>
          <w:b/>
          <w:bCs/>
          <w:color w:val="000000"/>
          <w:kern w:val="2"/>
          <w:sz w:val="20"/>
          <w:szCs w:val="20"/>
          <w:lang w:val="pl-PL" w:eastAsia="zh-CN" w:bidi="hi-IN"/>
        </w:rPr>
        <w:t xml:space="preserve">3.1-3.4 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sz w:val="20"/>
          <w:szCs w:val="20"/>
          <w:lang w:val="pl-PL"/>
        </w:rPr>
        <w:t>spełniam warunki udziału w postępowaniu zgodnie z wymogami Zapytania Ofertowego SWZO;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color w:val="000000"/>
          <w:sz w:val="20"/>
          <w:szCs w:val="20"/>
        </w:rPr>
        <w:t xml:space="preserve">nie wydano wobec mnie </w:t>
      </w:r>
      <w:r>
        <w:rPr>
          <w:rFonts w:cs="Times New Roman" w:ascii="Times New Roman" w:hAnsi="Times New Roman"/>
          <w:color w:val="000000"/>
          <w:sz w:val="20"/>
          <w:szCs w:val="20"/>
          <w:shd w:fill="FFFFFF" w:val="clear"/>
        </w:rPr>
        <w:t>prawomocnego wyroku sądu lub ostatecznej decyzji administracyjnej o zaleganiu z uiszczaniem podatków, opłat lub składek na ubezpieczenie społeczne lub zdrowotne.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Nie </w:t>
      </w:r>
      <w:r>
        <w:rPr>
          <w:rFonts w:eastAsia="Arial" w:cs="Arial" w:ascii="Times New Roman" w:hAnsi="Times New Roman"/>
          <w:iCs/>
          <w:color w:val="000000"/>
          <w:kern w:val="2"/>
          <w:sz w:val="20"/>
          <w:szCs w:val="20"/>
          <w:highlight w:val="white"/>
          <w:lang w:val="pl-PL" w:eastAsia="zh-CN" w:bidi="hi-IN"/>
        </w:rPr>
        <w:t>jestem podmiotem,  którym mowa w art.7 ust 1</w:t>
      </w: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późn. zm.) zwanego dalej „rozporządzeniu 765/2006” i rozporządzeniu Rady (UE) 269/2014 z dnia 17 marca 2014 w sprawie wpisu na listę rozstrzygającej o zastosowaniu środka, o którym mowa w art. 1 pkt 3 cytowanej ustawy;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>
          <w:sz w:val="20"/>
          <w:szCs w:val="20"/>
        </w:rPr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27" w:leader="none"/>
          <w:tab w:val="right" w:pos="8731" w:leader="dot"/>
        </w:tabs>
        <w:spacing w:lineRule="auto" w:line="276" w:before="113" w:after="113"/>
        <w:ind w:left="720" w:hanging="0"/>
        <w:jc w:val="both"/>
        <w:rPr>
          <w:rFonts w:cs="Arial"/>
          <w:iCs/>
          <w:color w:val="000000"/>
          <w:highlight w:val="white"/>
          <w:lang w:val="pl-PL"/>
        </w:rPr>
      </w:pPr>
      <w:r>
        <w:rPr>
          <w:rFonts w:cs="Arial"/>
          <w:iCs/>
          <w:color w:val="000000"/>
          <w:highlight w:val="white"/>
          <w:lang w:val="pl-PL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iCs/>
          <w:color w:val="000000"/>
          <w:sz w:val="20"/>
          <w:szCs w:val="20"/>
          <w:highlight w:val="white"/>
        </w:rPr>
      </w:pPr>
      <w:r>
        <w:rPr>
          <w:rFonts w:cs="Arial"/>
          <w:iCs/>
          <w:color w:val="000000"/>
          <w:sz w:val="20"/>
          <w:szCs w:val="20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iCs/>
          <w:color w:val="000000"/>
          <w:sz w:val="20"/>
          <w:szCs w:val="20"/>
          <w:highlight w:val="white"/>
        </w:rPr>
      </w:pPr>
      <w:r>
        <w:rPr>
          <w:rFonts w:cs="Arial"/>
          <w:iCs/>
          <w:color w:val="000000"/>
          <w:sz w:val="20"/>
          <w:szCs w:val="20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08"/>
        <w:gridCol w:w="4331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8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1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8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1" w:type="dxa"/>
            <w:tcBorders/>
          </w:tcPr>
          <w:p>
            <w:pPr>
              <w:pStyle w:val="Zalpodpis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ascii="Times New Roman" w:hAnsi="Times New Roman"/>
          <w:sz w:val="20"/>
          <w:szCs w:val="20"/>
        </w:rPr>
      </w:pPr>
      <w:r>
        <w:rPr/>
      </w:r>
    </w:p>
    <w:sectPr>
      <w:headerReference w:type="default" r:id="rId2"/>
      <w:type w:val="nextPage"/>
      <w:pgSz w:w="11906" w:h="16838"/>
      <w:pgMar w:left="1134" w:right="1134" w:header="1134" w:top="2099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keepNext w:val="true"/>
      <w:spacing w:before="240" w:after="120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68060" cy="659130"/>
          <wp:effectExtent l="0" t="0" r="0" b="0"/>
          <wp:wrapSquare wrapText="largest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6806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WW8Num24z0">
    <w:name w:val="WW8Num24z0"/>
    <w:qFormat/>
    <w:rPr>
      <w:rFonts w:ascii="Symbol" w:hAnsi="Symbol" w:eastAsia="OpenSymbol"/>
      <w:szCs w:val="21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Ngbinding">
    <w:name w:val="ng-binding"/>
    <w:qFormat/>
    <w:rPr/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character" w:styleId="Znakinumeracji">
    <w:name w:val="Znaki numeracji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hi-IN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hi-IN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hi-IN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hi-IN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Application>LibreOffice/6.4.7.2$Windows_X86_64 LibreOffice_project/639b8ac485750d5696d7590a72ef1b496725cfb5</Application>
  <Pages>2</Pages>
  <Words>430</Words>
  <Characters>2796</Characters>
  <CharactersWithSpaces>3225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2025-06-02T11:20:29Z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